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D31A73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683545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81245C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noProof/>
                <w:sz w:val="20"/>
                <w:lang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4739565</wp:posOffset>
                  </wp:positionH>
                  <wp:positionV relativeFrom="paragraph">
                    <wp:posOffset>124890</wp:posOffset>
                  </wp:positionV>
                  <wp:extent cx="1590675" cy="490220"/>
                  <wp:effectExtent l="0" t="0" r="9525" b="508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urkowski faxymile prost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77B3E" w:rsidRDefault="000F6B5A">
            <w:pPr>
              <w:ind w:left="5669"/>
              <w:rPr>
                <w:sz w:val="20"/>
              </w:rPr>
            </w:pPr>
            <w:r>
              <w:rPr>
                <w:sz w:val="20"/>
              </w:rPr>
              <w:t xml:space="preserve">z dnia </w:t>
            </w:r>
            <w:r w:rsidR="0081245C">
              <w:rPr>
                <w:sz w:val="20"/>
              </w:rPr>
              <w:t>5</w:t>
            </w:r>
            <w:r w:rsidR="00683545">
              <w:rPr>
                <w:sz w:val="20"/>
              </w:rPr>
              <w:t xml:space="preserve"> </w:t>
            </w:r>
            <w:r>
              <w:rPr>
                <w:sz w:val="20"/>
              </w:rPr>
              <w:t>stycznia 2024</w:t>
            </w:r>
            <w:r w:rsidR="00683545">
              <w:rPr>
                <w:sz w:val="20"/>
              </w:rPr>
              <w:t xml:space="preserve"> r.</w:t>
            </w:r>
          </w:p>
          <w:p w:rsidR="00A77B3E" w:rsidRDefault="00683545">
            <w:pPr>
              <w:ind w:left="5669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A77B3E">
            <w:pPr>
              <w:ind w:left="5669"/>
              <w:rPr>
                <w:sz w:val="20"/>
              </w:rPr>
            </w:pPr>
          </w:p>
          <w:p w:rsidR="00A77B3E" w:rsidRDefault="00A77B3E">
            <w:pPr>
              <w:ind w:left="5669"/>
              <w:rPr>
                <w:sz w:val="20"/>
              </w:rPr>
            </w:pPr>
          </w:p>
        </w:tc>
      </w:tr>
    </w:tbl>
    <w:p w:rsidR="00A77B3E" w:rsidRDefault="00A77B3E"/>
    <w:p w:rsidR="00A77B3E" w:rsidRDefault="00683545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Sulechowie</w:t>
      </w:r>
    </w:p>
    <w:p w:rsidR="00A77B3E" w:rsidRDefault="00683545">
      <w:pPr>
        <w:spacing w:before="280" w:after="280" w:line="276" w:lineRule="auto"/>
        <w:jc w:val="center"/>
        <w:rPr>
          <w:b/>
          <w:caps/>
        </w:rPr>
      </w:pPr>
      <w:r>
        <w:t>z dnia .................... 202</w:t>
      </w:r>
      <w:r w:rsidR="000F6B5A">
        <w:t>4</w:t>
      </w:r>
      <w:r>
        <w:t> r.</w:t>
      </w:r>
    </w:p>
    <w:p w:rsidR="00A77B3E" w:rsidRDefault="00683545">
      <w:pPr>
        <w:keepNext/>
        <w:spacing w:after="480" w:line="276" w:lineRule="auto"/>
        <w:jc w:val="center"/>
      </w:pPr>
      <w:r>
        <w:rPr>
          <w:b/>
        </w:rPr>
        <w:t>w sprawie ustalenia zasad wypłacania diet dla radnych i sołtysów Gminy Sulechów</w:t>
      </w:r>
    </w:p>
    <w:p w:rsidR="00A77B3E" w:rsidRDefault="00683545">
      <w:pPr>
        <w:keepLines/>
        <w:spacing w:before="120" w:after="120" w:line="276" w:lineRule="auto"/>
        <w:ind w:firstLine="227"/>
        <w:jc w:val="both"/>
      </w:pPr>
      <w:r>
        <w:t>Na podstawie art. 25 ust. 4, 6 i 8 i art. 37b ust. 1 ustawy z dnia 8 marca 1990 r. o samorządzie gminnym (Dz. U. z 2023 r. poz. 40), § 3 pkt 2 Rozporządzenia Rady Ministrów z dnia 27 października 2021 r. w sprawie maksymalnej wysokości diet przysługujących radnym (Dz.U. poz. 1974) uchwala się, co następuje:</w:t>
      </w:r>
    </w:p>
    <w:p w:rsidR="00A77B3E" w:rsidRDefault="0068354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Ustala się następujące wysokości miesięcznych diet dla radnych liczonych od maksymalnej miesięcznej wysokości diety radnego przez którą rozumie się 75 % z 2,4-krotności kwoty bazowej określonej w ustawie budżetowej dla osób zajmujących kierownicze stanowiska państwowe na podstawie przepisów ustawy z dnia 23 grudnia 1999 r. o kształtowaniu wynagrodzeń w państwowej sferze budżetowej oraz o zmianie niektórych ustaw (Dz. U. z 2022 r. poz. 1533, 2666):</w:t>
      </w:r>
    </w:p>
    <w:p w:rsidR="00A77B3E" w:rsidRDefault="0068354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dla Przewodniczącego Rady Miejskiej w Sulechowie - 65 % maksymalnej miesięcznej wysokości diety,</w:t>
      </w:r>
    </w:p>
    <w:p w:rsidR="00A77B3E" w:rsidRDefault="0068354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 Wiceprzewodniczących Rady Miejskiej w Sulechowie - 50 % maksymalnej miesięcznej wysokości diety,</w:t>
      </w:r>
    </w:p>
    <w:p w:rsidR="00A77B3E" w:rsidRDefault="0068354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dla Przewodniczących komisji - 45 % maksymalnej miesięcznej wysokości diety,</w:t>
      </w:r>
    </w:p>
    <w:p w:rsidR="00A77B3E" w:rsidRDefault="0068354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dla radnych będących członkami 2 i więcej komisji - 40 % maksymalnej miesięcznej wysokości diety,</w:t>
      </w:r>
    </w:p>
    <w:p w:rsidR="00A77B3E" w:rsidRDefault="0068354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dla radnych będących członkami 1 komisji - 35 % maksymalnej miesięcznej wysokości diety,</w:t>
      </w:r>
    </w:p>
    <w:p w:rsidR="00A77B3E" w:rsidRDefault="0068354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dla radnych nie będących członkami komisji - 20 % maksymalnej miesięcznej wysokości diety.</w:t>
      </w:r>
    </w:p>
    <w:p w:rsidR="00A77B3E" w:rsidRDefault="0068354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Przez komisje należy ro</w:t>
      </w:r>
      <w:r w:rsidR="008D37E3">
        <w:rPr>
          <w:color w:val="000000"/>
          <w:u w:color="000000"/>
        </w:rPr>
        <w:t>zumieć stałe lub doraźne komisje</w:t>
      </w:r>
      <w:r>
        <w:rPr>
          <w:color w:val="000000"/>
          <w:u w:color="000000"/>
        </w:rPr>
        <w:t xml:space="preserve"> Rady.</w:t>
      </w:r>
    </w:p>
    <w:p w:rsidR="00A77B3E" w:rsidRDefault="0068354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Radnemu pełniącemu więcej niż jedną funkcję przysługuje jedna dieta wynikająca z pełnionych funkcji w najwyższej wysokości spośród określonych w ust. 1.</w:t>
      </w:r>
    </w:p>
    <w:p w:rsidR="00A77B3E" w:rsidRDefault="0068354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Zryczałtowana dieta przysługuje proporcjonalnie do okresu sprawowania przez radnego funkcji w danym miesiącu.</w:t>
      </w:r>
    </w:p>
    <w:p w:rsidR="00A77B3E" w:rsidRDefault="0068354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Za każdą nieusprawiedliwioną nieobecność radnego na sesji rady wysokość diety ustalona stosownie do postanowień § 1 podlega zmniejszeniu o 20%.</w:t>
      </w:r>
    </w:p>
    <w:p w:rsidR="00A77B3E" w:rsidRDefault="0068354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Za każdą nieusprawiedliwioną nieobecność radnego na posiedzeniu komisji wysokość diety ustalona stosownie do postanowień § 1, podlega zmniejszeniu w ten sposób, że liczbę 20 dzieli się przez ilość posiedzeń komisji w danym miesiącu, w których radny będąc członkiem był obowiązany uczestniczyć i mnoży się przez liczbę nieusprawiedliwionych nieobecności radnego na posiedzeniach tych komisji. Uzyskany wynik wyraża procentową wysokość, o którą dieta podlega zmniejszeniu.</w:t>
      </w:r>
    </w:p>
    <w:p w:rsidR="00A77B3E" w:rsidRDefault="0068354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Nieobecność radnego na sesji rady lub na posiedzeniu komisji zostaje usprawiedliwiona przez przewodniczącego rady w następujących przypadkach:</w:t>
      </w:r>
    </w:p>
    <w:p w:rsidR="00A77B3E" w:rsidRDefault="0068354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przedłożenia kopii zaświadczenia lekarskiego o chorobie bądź pobycie w szpitalu albo innej placówce o podobnym charakterze w celach leczniczych,</w:t>
      </w:r>
    </w:p>
    <w:p w:rsidR="00A77B3E" w:rsidRDefault="0068354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jednoczesnych obrad więcej niż jednej komisji, których radny jest członkiem i był obecny na jednej z nich,</w:t>
      </w:r>
    </w:p>
    <w:p w:rsidR="00A77B3E" w:rsidRDefault="0068354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delegacji służbowej z ramienia rady bądź udziału w innej komisji powołanej przez burmistrza,</w:t>
      </w:r>
    </w:p>
    <w:p w:rsidR="00A77B3E" w:rsidRDefault="0068354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przedłożenia kopii delegacji służbowej z zakładu pracy w przypadku zwołania sesji nadzwyczajnej,</w:t>
      </w:r>
    </w:p>
    <w:p w:rsidR="00A77B3E" w:rsidRDefault="0068354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przedłożenia zaświadczenia o zdarzeniu losowym, co do którego przysługuje urlop okolicznościowy zgodnie z Kodeksem pracy.</w:t>
      </w:r>
    </w:p>
    <w:p w:rsidR="00A77B3E" w:rsidRDefault="0068354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Nieobecność może być usprawiedliwiona przez przewodniczącego rady miejskiej również w innych przypadkach niż wymienione w ust. 3 na pisemny wniosek radnego.</w:t>
      </w:r>
    </w:p>
    <w:p w:rsidR="00A77B3E" w:rsidRDefault="0068354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Nieobecność przewodniczącego rady na sesji lub posiedzeniu komisji usprawiedliwiana jest na zasadach określonych w ust. 3 i 4 </w:t>
      </w:r>
      <w:r w:rsidR="00F16787">
        <w:rPr>
          <w:color w:val="000000"/>
          <w:u w:color="000000"/>
        </w:rPr>
        <w:t>przez jednego z wi</w:t>
      </w:r>
      <w:r>
        <w:rPr>
          <w:color w:val="000000"/>
          <w:u w:color="000000"/>
        </w:rPr>
        <w:t>ceprzewodniczących.</w:t>
      </w:r>
    </w:p>
    <w:p w:rsidR="00A77B3E" w:rsidRDefault="0068354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Podstawą do stwierdzenia obecności radnego na sesji lub komisji jest lista obecności, podpisana przez radnego i potwierdzona przez prowadzącego obrady w przypadku sesji oraz prowadzącego obrady komisji w przypadku posiedzenia komisji rady.</w:t>
      </w:r>
    </w:p>
    <w:p w:rsidR="00A77B3E" w:rsidRDefault="0068354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Ustala się zryczałtowaną miesięczną dietę dla sołtysa, bez względu na ilość sesji rady w danym miesiącu, w wysokości 20 % z maksymalnej miesięcznej wysokości diety radnego rozumianej jako 75 % z 2,4-krotności kwoty bazowej określonej w ustawie budżetowej dla osób zajmujących kierownicze stanowiska państwowe na podstawie przepisów ustawy z dnia 23 grudnia 1999 r. o kształtowaniu wynagrodzeń w państwowej sferze budżetowej oraz o zmianie niektórych ustaw (Dz. U. z 2022 r. poz. 1533, 2666).</w:t>
      </w:r>
    </w:p>
    <w:p w:rsidR="00A77B3E" w:rsidRDefault="0068354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Diety radnych i sołtysów są wypłacane:</w:t>
      </w:r>
    </w:p>
    <w:p w:rsidR="00A77B3E" w:rsidRDefault="0068354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przelewem na rachunek bankowy wskazany przez radnego, do dnia 12 następnego miesiąca na podstawie wykazu obecności,</w:t>
      </w:r>
    </w:p>
    <w:p w:rsidR="00A77B3E" w:rsidRDefault="00683545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przelewem na rachunek bankowy wskazany przez sołtysa, do dnia 12 następnego miesiąca.</w:t>
      </w:r>
    </w:p>
    <w:p w:rsidR="00A77B3E" w:rsidRDefault="00683545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lastRenderedPageBreak/>
        <w:t>§ 5. </w:t>
      </w:r>
      <w:r>
        <w:rPr>
          <w:color w:val="000000"/>
          <w:u w:color="000000"/>
        </w:rPr>
        <w:t>Traci moc uchwała nr 0007.114.2011 Rady Miejskiej w Sulechowie z dnia 20 września 2011 r. w sprawie ustalenia zasad wypłacania diet dla radnych i sołtysów Gminy Sulechów zmieniona uchwałą nr 0007.20.2014 Rady Miejskiej w Sulechowie z dnia 30 grudnia 2014 r., uchwałą nr 0007.53.2015 Rady Miejskiej w Sulechowie z dnia 17 marca 2015 r., uchwałą nr 0007.493.2018 Rady Miejskiej w Sulechowie z dnia 20 lutego 2018 r., uchwałą nr 0007.181.2019 Rady Miejskiej w Sulechowie z dnia 17 grudnia 2019 r. i uchwałą nr 0007.441.2021 Rady Miejskiej w Sulechowie z dnia 21 grudnia 2021 r. o zmianie uchwały w sprawie ustalenia zasad wypłacania diet dla radnych i sołtysów Gminy Sulechów.</w:t>
      </w:r>
    </w:p>
    <w:p w:rsidR="00A77B3E" w:rsidRDefault="00683545" w:rsidP="0071788B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rPr>
          <w:b/>
        </w:rPr>
        <w:t>§ 6. </w:t>
      </w:r>
      <w:r w:rsidR="0071788B" w:rsidRPr="0071788B">
        <w:rPr>
          <w:color w:val="000000"/>
          <w:u w:color="000000"/>
        </w:rPr>
        <w:t>Uchwała wchodzi w życie po upływie 14 dni od dnia ogłoszenia w Dzienniku Urzędowym</w:t>
      </w:r>
      <w:r w:rsidR="0071788B">
        <w:rPr>
          <w:color w:val="000000"/>
          <w:u w:color="000000"/>
        </w:rPr>
        <w:t xml:space="preserve"> </w:t>
      </w:r>
      <w:bookmarkStart w:id="0" w:name="_GoBack"/>
      <w:bookmarkEnd w:id="0"/>
      <w:r w:rsidR="0071788B" w:rsidRPr="0071788B">
        <w:rPr>
          <w:color w:val="000000"/>
          <w:u w:color="000000"/>
        </w:rPr>
        <w:t>Województwa Lubuskiego.</w:t>
      </w:r>
      <w:r w:rsidR="0071788B" w:rsidRPr="0071788B">
        <w:rPr>
          <w:color w:val="000000"/>
          <w:u w:color="000000"/>
        </w:rPr>
        <w:cr/>
      </w:r>
    </w:p>
    <w:p w:rsidR="00ED0DA9" w:rsidRDefault="00ED0DA9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p w:rsidR="00F16787" w:rsidRDefault="00F16787">
      <w:pPr>
        <w:keepLines/>
        <w:spacing w:before="120" w:after="120" w:line="276" w:lineRule="auto"/>
        <w:ind w:firstLine="340"/>
        <w:rPr>
          <w:color w:val="000000"/>
          <w:u w:color="000000"/>
        </w:rPr>
      </w:pPr>
    </w:p>
    <w:p w:rsidR="00F16787" w:rsidRDefault="00F16787" w:rsidP="00F16787">
      <w:pPr>
        <w:keepLines/>
        <w:spacing w:before="120" w:after="120" w:line="276" w:lineRule="auto"/>
        <w:rPr>
          <w:color w:val="000000"/>
          <w:u w:color="000000"/>
        </w:rPr>
      </w:pPr>
    </w:p>
    <w:p w:rsidR="00A77B3E" w:rsidRPr="00ED0DA9" w:rsidRDefault="00683545">
      <w:pPr>
        <w:spacing w:before="120" w:after="120" w:line="276" w:lineRule="auto"/>
        <w:jc w:val="center"/>
        <w:rPr>
          <w:rFonts w:asciiTheme="minorHAnsi" w:hAnsiTheme="minorHAnsi" w:cstheme="minorHAnsi"/>
          <w:color w:val="000000"/>
          <w:u w:color="000000"/>
        </w:rPr>
      </w:pPr>
      <w:r w:rsidRPr="00ED0DA9">
        <w:rPr>
          <w:rFonts w:asciiTheme="minorHAnsi" w:hAnsiTheme="minorHAnsi" w:cstheme="minorHAnsi"/>
          <w:b/>
          <w:spacing w:val="20"/>
        </w:rPr>
        <w:t>Uzasadnienie</w:t>
      </w:r>
    </w:p>
    <w:p w:rsidR="00A77B3E" w:rsidRPr="00ED0DA9" w:rsidRDefault="00683545">
      <w:pPr>
        <w:spacing w:before="120" w:after="120" w:line="276" w:lineRule="auto"/>
        <w:ind w:firstLine="227"/>
        <w:jc w:val="both"/>
        <w:rPr>
          <w:rFonts w:asciiTheme="minorHAnsi" w:hAnsiTheme="minorHAnsi" w:cstheme="minorHAnsi"/>
          <w:color w:val="000000"/>
          <w:u w:color="000000"/>
        </w:rPr>
      </w:pPr>
      <w:r w:rsidRPr="00ED0DA9">
        <w:rPr>
          <w:rFonts w:asciiTheme="minorHAnsi" w:hAnsiTheme="minorHAnsi" w:cstheme="minorHAnsi"/>
          <w:color w:val="000000"/>
          <w:u w:color="000000"/>
        </w:rPr>
        <w:t>Na podstawie analizy wyroków sądów administracyjnych (w tym zwłaszcza Naczelnego Sądu Administracyjnego</w:t>
      </w:r>
      <w:r w:rsidRPr="00ED0DA9">
        <w:rPr>
          <w:rStyle w:val="Odwoanieprzypisudolnego"/>
          <w:rFonts w:asciiTheme="minorHAnsi" w:eastAsia="Verdana" w:hAnsiTheme="minorHAnsi" w:cstheme="minorHAnsi"/>
          <w:color w:val="000000"/>
          <w:u w:color="000000"/>
        </w:rPr>
        <w:footnoteReference w:customMarkFollows="1" w:id="1"/>
        <w:t>1) </w:t>
      </w:r>
      <w:r w:rsidRPr="00ED0DA9">
        <w:rPr>
          <w:rFonts w:asciiTheme="minorHAnsi" w:hAnsiTheme="minorHAnsi" w:cstheme="minorHAnsi"/>
          <w:color w:val="000000"/>
          <w:u w:color="000000"/>
        </w:rPr>
        <w:t>) w sprawie uchwał dotyczących diet radnych samorządowych</w:t>
      </w:r>
      <w:r w:rsidRPr="00ED0DA9">
        <w:rPr>
          <w:rStyle w:val="Odwoanieprzypisudolnego"/>
          <w:rFonts w:asciiTheme="minorHAnsi" w:eastAsia="Verdana" w:hAnsiTheme="minorHAnsi" w:cstheme="minorHAnsi"/>
          <w:color w:val="000000"/>
          <w:u w:color="000000"/>
        </w:rPr>
        <w:footnoteReference w:customMarkFollows="1" w:id="2"/>
        <w:t>2) </w:t>
      </w:r>
      <w:r w:rsidRPr="00ED0DA9">
        <w:rPr>
          <w:rFonts w:asciiTheme="minorHAnsi" w:hAnsiTheme="minorHAnsi" w:cstheme="minorHAnsi"/>
          <w:color w:val="000000"/>
          <w:u w:color="000000"/>
        </w:rPr>
        <w:t>, należy uznać, że uchwały te są aktami prawa miejscowego (zawierają w ocenie sądów normy generalne i abstrakcyjne), a zatem warunkiem wejścia w życie jest ich ogłoszenie w wojewódzkim dzienniku urzędowym.</w:t>
      </w:r>
    </w:p>
    <w:p w:rsidR="00A77B3E" w:rsidRPr="00ED0DA9" w:rsidRDefault="00683545">
      <w:pPr>
        <w:spacing w:before="120" w:after="120" w:line="276" w:lineRule="auto"/>
        <w:ind w:firstLine="227"/>
        <w:jc w:val="both"/>
        <w:rPr>
          <w:rFonts w:asciiTheme="minorHAnsi" w:hAnsiTheme="minorHAnsi" w:cstheme="minorHAnsi"/>
          <w:color w:val="000000"/>
          <w:u w:color="000000"/>
        </w:rPr>
      </w:pPr>
      <w:r w:rsidRPr="00ED0DA9">
        <w:rPr>
          <w:rFonts w:asciiTheme="minorHAnsi" w:hAnsiTheme="minorHAnsi" w:cstheme="minorHAnsi"/>
          <w:color w:val="000000"/>
          <w:u w:color="000000"/>
        </w:rPr>
        <w:t>Zgodnie z powyższym organ nadzoru wskazał pismem znak: NK-I.40.61.2023.ASzc z dnia 27 września 2023 r., że przepis dotyczący ich wejścia w życie powinien być właściwy dla aktów prawa miejscowego</w:t>
      </w:r>
      <w:r w:rsidRPr="00ED0DA9">
        <w:rPr>
          <w:rStyle w:val="Odwoanieprzypisudolnego"/>
          <w:rFonts w:asciiTheme="minorHAnsi" w:eastAsia="Verdana" w:hAnsiTheme="minorHAnsi" w:cstheme="minorHAnsi"/>
          <w:color w:val="000000"/>
          <w:u w:color="000000"/>
        </w:rPr>
        <w:footnoteReference w:customMarkFollows="1" w:id="3"/>
        <w:t>3) </w:t>
      </w:r>
      <w:r w:rsidR="00ED0DA9">
        <w:rPr>
          <w:rFonts w:asciiTheme="minorHAnsi" w:hAnsiTheme="minorHAnsi" w:cstheme="minorHAnsi"/>
          <w:color w:val="000000"/>
          <w:u w:color="000000"/>
        </w:rPr>
        <w:t>.</w:t>
      </w:r>
    </w:p>
    <w:p w:rsidR="00A77B3E" w:rsidRPr="00ED0DA9" w:rsidRDefault="00683545">
      <w:pPr>
        <w:spacing w:before="120" w:after="120" w:line="276" w:lineRule="auto"/>
        <w:ind w:firstLine="227"/>
        <w:jc w:val="both"/>
        <w:rPr>
          <w:rFonts w:asciiTheme="minorHAnsi" w:hAnsiTheme="minorHAnsi" w:cstheme="minorHAnsi"/>
          <w:color w:val="000000"/>
          <w:u w:color="000000"/>
        </w:rPr>
      </w:pPr>
      <w:r w:rsidRPr="00ED0DA9">
        <w:rPr>
          <w:rFonts w:asciiTheme="minorHAnsi" w:hAnsiTheme="minorHAnsi" w:cstheme="minorHAnsi"/>
          <w:color w:val="000000"/>
          <w:u w:color="000000"/>
        </w:rPr>
        <w:t>Należy wskazać także, że Naczelny Sąd Administracyjny analogiczne stanowisko zajął odnośnie uchwał w sprawie diet sołtysów</w:t>
      </w:r>
      <w:r w:rsidRPr="00ED0DA9">
        <w:rPr>
          <w:rStyle w:val="Odwoanieprzypisudolnego"/>
          <w:rFonts w:asciiTheme="minorHAnsi" w:eastAsia="Verdana" w:hAnsiTheme="minorHAnsi" w:cstheme="minorHAnsi"/>
          <w:color w:val="000000"/>
          <w:u w:color="000000"/>
        </w:rPr>
        <w:footnoteReference w:customMarkFollows="1" w:id="4"/>
        <w:t>4) </w:t>
      </w:r>
      <w:r w:rsidRPr="00ED0DA9">
        <w:rPr>
          <w:rFonts w:asciiTheme="minorHAnsi" w:hAnsiTheme="minorHAnsi" w:cstheme="minorHAnsi"/>
          <w:color w:val="000000"/>
          <w:u w:color="000000"/>
        </w:rPr>
        <w:t>.</w:t>
      </w:r>
    </w:p>
    <w:p w:rsidR="00A77B3E" w:rsidRPr="00ED0DA9" w:rsidRDefault="00683545">
      <w:pPr>
        <w:spacing w:before="120" w:after="120" w:line="276" w:lineRule="auto"/>
        <w:ind w:firstLine="227"/>
        <w:jc w:val="both"/>
        <w:rPr>
          <w:rFonts w:asciiTheme="minorHAnsi" w:hAnsiTheme="minorHAnsi" w:cstheme="minorHAnsi"/>
          <w:color w:val="000000"/>
          <w:u w:color="000000"/>
        </w:rPr>
      </w:pPr>
      <w:r w:rsidRPr="00ED0DA9">
        <w:rPr>
          <w:rFonts w:asciiTheme="minorHAnsi" w:hAnsiTheme="minorHAnsi" w:cstheme="minorHAnsi"/>
          <w:color w:val="000000"/>
          <w:u w:color="000000"/>
        </w:rPr>
        <w:t>Jednocześnie z uwagi na fakt, że tego typu uchwały nie były dotychczas ogłaszane w Dzienniku Urzędowym Województwa Lubuskiego (nie były one uznawane za akt prawa miejscowego), zasadne jest podjęcie w takim przypadku nowej uchwały, a nie dokonywanie nowelizacji – dzięki czemu uniknie się niepożądanej sytuacji, że w urzędowym publikatorze ogłoszona będzie wyłącznie uchwała zmieniająca.</w:t>
      </w:r>
    </w:p>
    <w:p w:rsidR="00A77B3E" w:rsidRDefault="00683545">
      <w:pPr>
        <w:spacing w:before="120" w:after="120" w:line="276" w:lineRule="auto"/>
        <w:ind w:firstLine="227"/>
        <w:jc w:val="both"/>
        <w:rPr>
          <w:rFonts w:asciiTheme="minorHAnsi" w:hAnsiTheme="minorHAnsi" w:cstheme="minorHAnsi"/>
          <w:color w:val="000000"/>
          <w:u w:color="000000"/>
        </w:rPr>
      </w:pPr>
      <w:r w:rsidRPr="00ED0DA9">
        <w:rPr>
          <w:rFonts w:asciiTheme="minorHAnsi" w:hAnsiTheme="minorHAnsi" w:cstheme="minorHAnsi"/>
          <w:color w:val="000000"/>
          <w:u w:color="000000"/>
        </w:rPr>
        <w:t>R</w:t>
      </w:r>
      <w:r w:rsidR="00F16787" w:rsidRPr="00ED0DA9">
        <w:rPr>
          <w:rFonts w:asciiTheme="minorHAnsi" w:hAnsiTheme="minorHAnsi" w:cstheme="minorHAnsi"/>
          <w:color w:val="000000"/>
          <w:u w:color="000000"/>
        </w:rPr>
        <w:t>e</w:t>
      </w:r>
      <w:r w:rsidRPr="00ED0DA9">
        <w:rPr>
          <w:rFonts w:asciiTheme="minorHAnsi" w:hAnsiTheme="minorHAnsi" w:cstheme="minorHAnsi"/>
          <w:color w:val="000000"/>
          <w:u w:color="000000"/>
        </w:rPr>
        <w:t>asumując, podjęcie przedmiotowej uchwały jest konieczne i zasadne.</w:t>
      </w:r>
    </w:p>
    <w:p w:rsidR="0081245C" w:rsidRDefault="0081245C">
      <w:pPr>
        <w:spacing w:before="120" w:after="120" w:line="276" w:lineRule="auto"/>
        <w:ind w:firstLine="227"/>
        <w:jc w:val="both"/>
        <w:rPr>
          <w:rFonts w:asciiTheme="minorHAnsi" w:hAnsiTheme="minorHAnsi" w:cstheme="minorHAnsi"/>
          <w:color w:val="000000"/>
          <w:u w:color="000000"/>
        </w:rPr>
      </w:pPr>
    </w:p>
    <w:p w:rsidR="0081245C" w:rsidRDefault="0081245C">
      <w:pPr>
        <w:spacing w:before="120" w:after="120" w:line="276" w:lineRule="auto"/>
        <w:ind w:firstLine="227"/>
        <w:jc w:val="both"/>
        <w:rPr>
          <w:rFonts w:asciiTheme="minorHAnsi" w:hAnsiTheme="minorHAnsi" w:cstheme="minorHAnsi"/>
          <w:color w:val="000000"/>
          <w:u w:color="000000"/>
        </w:rPr>
      </w:pPr>
    </w:p>
    <w:p w:rsidR="0081245C" w:rsidRDefault="0081245C">
      <w:pPr>
        <w:spacing w:before="120" w:after="120" w:line="276" w:lineRule="auto"/>
        <w:ind w:firstLine="227"/>
        <w:jc w:val="both"/>
        <w:rPr>
          <w:rFonts w:asciiTheme="minorHAnsi" w:hAnsiTheme="minorHAnsi" w:cstheme="minorHAnsi"/>
          <w:color w:val="000000"/>
          <w:u w:color="000000"/>
        </w:rPr>
      </w:pPr>
      <w:r>
        <w:rPr>
          <w:rFonts w:asciiTheme="minorHAnsi" w:hAnsiTheme="minorHAnsi" w:cstheme="minorHAnsi"/>
          <w:noProof/>
          <w:color w:val="000000"/>
          <w:u w:color="000000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4084067</wp:posOffset>
            </wp:positionH>
            <wp:positionV relativeFrom="paragraph">
              <wp:posOffset>108817</wp:posOffset>
            </wp:positionV>
            <wp:extent cx="1591056" cy="490728"/>
            <wp:effectExtent l="0" t="0" r="0" b="508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rkowski faxymile pros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056" cy="490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245C" w:rsidRPr="00ED0DA9" w:rsidRDefault="0081245C">
      <w:pPr>
        <w:spacing w:before="120" w:after="120" w:line="276" w:lineRule="auto"/>
        <w:ind w:firstLine="227"/>
        <w:jc w:val="both"/>
        <w:rPr>
          <w:rFonts w:asciiTheme="minorHAnsi" w:hAnsiTheme="minorHAnsi" w:cstheme="minorHAnsi"/>
          <w:color w:val="000000"/>
          <w:u w:color="000000"/>
        </w:rPr>
      </w:pPr>
    </w:p>
    <w:sectPr w:rsidR="0081245C" w:rsidRPr="00ED0DA9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9BA" w:rsidRDefault="00F279BA">
      <w:r>
        <w:separator/>
      </w:r>
    </w:p>
  </w:endnote>
  <w:endnote w:type="continuationSeparator" w:id="0">
    <w:p w:rsidR="00F279BA" w:rsidRDefault="00F2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31A73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31A73" w:rsidRDefault="00683545">
          <w:pPr>
            <w:rPr>
              <w:sz w:val="18"/>
            </w:rPr>
          </w:pPr>
          <w:r w:rsidRPr="00F16787">
            <w:rPr>
              <w:sz w:val="18"/>
              <w:lang w:val="en-GB"/>
            </w:rPr>
            <w:t>Id: 99BCDA1D-35A4-4279-B2DC-DE3887CD1D11. </w:t>
          </w: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31A73" w:rsidRDefault="0068354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71788B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D31A73" w:rsidRDefault="00D31A7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9BA" w:rsidRDefault="00F279BA">
      <w:r>
        <w:separator/>
      </w:r>
    </w:p>
  </w:footnote>
  <w:footnote w:type="continuationSeparator" w:id="0">
    <w:p w:rsidR="00F279BA" w:rsidRDefault="00F279BA">
      <w:r>
        <w:continuationSeparator/>
      </w:r>
    </w:p>
  </w:footnote>
  <w:footnote w:id="1">
    <w:p w:rsidR="00D31A73" w:rsidRDefault="00683545">
      <w:pPr>
        <w:pStyle w:val="Tekstprzypisudolnego"/>
        <w:keepLines/>
        <w:spacing w:line="276" w:lineRule="auto"/>
        <w:ind w:left="170" w:hanging="170"/>
        <w:rPr>
          <w:rFonts w:ascii="Verdana" w:eastAsia="Verdana" w:hAnsi="Verdana" w:cs="Verdana"/>
        </w:rPr>
      </w:pPr>
      <w:r>
        <w:rPr>
          <w:rStyle w:val="Odwoanieprzypisudolnego"/>
        </w:rPr>
        <w:t>1)  </w:t>
      </w:r>
      <w:r>
        <w:rPr>
          <w:rFonts w:ascii="Verdana" w:eastAsia="Verdana" w:hAnsi="Verdana" w:cs="Verdana"/>
        </w:rPr>
        <w:t>m.in. wyrok Naczelnego Sądu Administracyjnego z 14 czerwca 2022 r., sygn. akt III OSK 5279/21; wyrok Wojewódzkiego Sądu Administracyjnego w Olsztynie z 5 września 2023 r., sygn. akt II SA/Ol 649/23.</w:t>
      </w:r>
    </w:p>
  </w:footnote>
  <w:footnote w:id="2">
    <w:p w:rsidR="00D31A73" w:rsidRDefault="00683545">
      <w:pPr>
        <w:pStyle w:val="Tekstprzypisudolnego"/>
        <w:keepLines/>
        <w:spacing w:line="276" w:lineRule="auto"/>
        <w:ind w:left="170" w:hanging="170"/>
        <w:rPr>
          <w:rFonts w:ascii="Verdana" w:eastAsia="Verdana" w:hAnsi="Verdana" w:cs="Verdana"/>
        </w:rPr>
      </w:pPr>
      <w:r>
        <w:rPr>
          <w:rStyle w:val="Odwoanieprzypisudolnego"/>
        </w:rPr>
        <w:t>2)  </w:t>
      </w:r>
      <w:r>
        <w:rPr>
          <w:rFonts w:ascii="Verdana" w:eastAsia="Verdana" w:hAnsi="Verdana" w:cs="Verdana"/>
        </w:rPr>
        <w:t>uchwały podejmowane na podstawie: art. 25 ust. 4 ustawy z dnia 8 marca 1990 r. o samorządzie gminnym (t.j. Dz.U.2023.40 ze zm.), art. 21 ust. 4 ustawy z dnia 5 czerwca 1998 r. o samorządzie powiatowym (t.j. Dz.U.2022.1526 ze zm.), art. 24 ust. 6 ustawy z dnia 5 czerwca 1998 r. o samorządzie województwa (t.j. Dz.U.2022.2094 ze zm.).</w:t>
      </w:r>
    </w:p>
  </w:footnote>
  <w:footnote w:id="3">
    <w:p w:rsidR="00D31A73" w:rsidRDefault="00683545">
      <w:pPr>
        <w:pStyle w:val="Tekstprzypisudolnego"/>
        <w:keepLines/>
        <w:spacing w:line="276" w:lineRule="auto"/>
        <w:ind w:left="170" w:hanging="170"/>
        <w:rPr>
          <w:rFonts w:ascii="Verdana" w:eastAsia="Verdana" w:hAnsi="Verdana" w:cs="Verdana"/>
        </w:rPr>
      </w:pPr>
      <w:r>
        <w:rPr>
          <w:rStyle w:val="Odwoanieprzypisudolnego"/>
        </w:rPr>
        <w:t>3)  </w:t>
      </w:r>
      <w:r>
        <w:rPr>
          <w:rFonts w:ascii="Verdana" w:eastAsia="Verdana" w:hAnsi="Verdana" w:cs="Verdana"/>
        </w:rPr>
        <w:t>por. art. 4 ust. 1 ustawy z dnia 20 lipca 2000 r. o ogłaszaniu aktów normatywnych i niektórych innych aktów prawnych (t.j. Dz.U.2019.1461).</w:t>
      </w:r>
    </w:p>
  </w:footnote>
  <w:footnote w:id="4">
    <w:p w:rsidR="00D31A73" w:rsidRDefault="00683545">
      <w:pPr>
        <w:pStyle w:val="Tekstprzypisudolnego"/>
        <w:keepLines/>
        <w:spacing w:line="276" w:lineRule="auto"/>
        <w:ind w:left="170" w:hanging="170"/>
        <w:rPr>
          <w:rFonts w:ascii="Verdana" w:eastAsia="Verdana" w:hAnsi="Verdana" w:cs="Verdana"/>
        </w:rPr>
      </w:pPr>
      <w:r>
        <w:rPr>
          <w:rStyle w:val="Odwoanieprzypisudolnego"/>
        </w:rPr>
        <w:t>4)  </w:t>
      </w:r>
      <w:r>
        <w:rPr>
          <w:rFonts w:ascii="Verdana" w:eastAsia="Verdana" w:hAnsi="Verdana" w:cs="Verdana"/>
        </w:rPr>
        <w:t>m.in. wyrok Naczelnego Sądu Administracyjnego z 17 listopada 2021 r., sygn. akt III OSK 4382/21; wyrok Naczelnego Sądu Administracyjnego z 28 kwietnia 2020 r., sygn. akt II OSK 570/19.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F6B5A"/>
    <w:rsid w:val="001A1282"/>
    <w:rsid w:val="001B200D"/>
    <w:rsid w:val="00683545"/>
    <w:rsid w:val="0071788B"/>
    <w:rsid w:val="007C7FAF"/>
    <w:rsid w:val="0081245C"/>
    <w:rsid w:val="008D37E3"/>
    <w:rsid w:val="00A77B3E"/>
    <w:rsid w:val="00CA2A55"/>
    <w:rsid w:val="00D31A73"/>
    <w:rsid w:val="00DF72D5"/>
    <w:rsid w:val="00ED0DA9"/>
    <w:rsid w:val="00F16787"/>
    <w:rsid w:val="00F279BA"/>
    <w:rsid w:val="00FA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724E4E-B00A-4F6B-91B9-6D5DDF59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8124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124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939</Words>
  <Characters>5634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Sulechowie</Company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zasad wypłacania diet dla radnych i^sołtysów Gminy Sulechów</dc:subject>
  <dc:creator>b.buda</dc:creator>
  <cp:lastModifiedBy>Bartosz Buda</cp:lastModifiedBy>
  <cp:revision>10</cp:revision>
  <cp:lastPrinted>2024-01-05T09:25:00Z</cp:lastPrinted>
  <dcterms:created xsi:type="dcterms:W3CDTF">2023-11-27T10:47:00Z</dcterms:created>
  <dcterms:modified xsi:type="dcterms:W3CDTF">2024-02-13T09:27:00Z</dcterms:modified>
  <cp:category>Akt prawny</cp:category>
</cp:coreProperties>
</file>